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Invoice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Professional services</w:t>
            </w:r>
          </w:p>
        </w:tc>
        <w:tc>
          <w:p>
            <w:r>
              <w:rPr>
                <w:b w:val="false"/>
                <w:bCs w:val="false"/>
              </w:rPr>
              <w:t xml:space="preserve">6</w:t>
            </w:r>
          </w:p>
        </w:tc>
        <w:tc>
          <w:p>
            <w:r>
              <w:rPr>
                <w:b w:val="false"/>
                <w:bCs w:val="false"/>
              </w:rPr>
              <w:t xml:space="preserve">$125.00</w:t>
            </w:r>
          </w:p>
        </w:tc>
        <w:tc>
          <w:p>
            <w:r>
              <w:rPr>
                <w:b w:val="false"/>
                <w:bCs w:val="false"/>
              </w:rPr>
              <w:t xml:space="preserve">$750.00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Materials and expenses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$185.00</w:t>
            </w:r>
          </w:p>
        </w:tc>
        <w:tc>
          <w:p>
            <w:r>
              <w:rPr>
                <w:b w:val="false"/>
                <w:bCs w:val="false"/>
              </w:rPr>
              <w:t xml:space="preserve">$185.00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$935.00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2026-08-28T01:12:56.969Z</dcterms:created>
  <dcterms:modified xsi:type="dcterms:W3CDTF">2026-08-28T01:12:56.969Z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